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CDB4" w14:textId="77777777" w:rsidR="003A43AC" w:rsidRDefault="003A43AC" w:rsidP="00564318">
      <w:pPr>
        <w:pStyle w:val="Heading1"/>
        <w:spacing w:line="360" w:lineRule="auto"/>
        <w:jc w:val="center"/>
        <w:rPr>
          <w:rFonts w:ascii="Arial" w:hAnsi="Arial" w:cs="Arial"/>
        </w:rPr>
      </w:pPr>
    </w:p>
    <w:p w14:paraId="41AA97E1" w14:textId="3D950000" w:rsidR="00DC4BB9" w:rsidRPr="00E75871" w:rsidRDefault="00DC4BB9" w:rsidP="00564318">
      <w:pPr>
        <w:pStyle w:val="Heading1"/>
        <w:spacing w:line="360" w:lineRule="auto"/>
        <w:jc w:val="center"/>
        <w:rPr>
          <w:rFonts w:ascii="Arial" w:hAnsi="Arial" w:cs="Arial"/>
        </w:rPr>
      </w:pPr>
      <w:r w:rsidRPr="00E75871">
        <w:rPr>
          <w:rFonts w:ascii="Arial" w:hAnsi="Arial" w:cs="Arial"/>
        </w:rPr>
        <w:t>One-minute guide to the MARM Framework</w:t>
      </w:r>
    </w:p>
    <w:p w14:paraId="38E37B01" w14:textId="77777777" w:rsidR="00564318" w:rsidRPr="00E75871" w:rsidRDefault="00564318" w:rsidP="00564318">
      <w:pPr>
        <w:spacing w:line="360" w:lineRule="auto"/>
        <w:jc w:val="both"/>
        <w:rPr>
          <w:color w:val="000000"/>
        </w:rPr>
      </w:pPr>
    </w:p>
    <w:p w14:paraId="150C5459" w14:textId="7B852D6E" w:rsidR="00FB3FBE" w:rsidRPr="00E75871" w:rsidRDefault="00DC4BB9" w:rsidP="00564318">
      <w:pPr>
        <w:spacing w:line="360" w:lineRule="auto"/>
        <w:jc w:val="both"/>
        <w:rPr>
          <w:bCs/>
        </w:rPr>
      </w:pPr>
      <w:r w:rsidRPr="00E75871">
        <w:rPr>
          <w:color w:val="000000"/>
        </w:rPr>
        <w:t>Oxfordshire Safeguarding Adults Board</w:t>
      </w:r>
      <w:r w:rsidR="003A43AC">
        <w:rPr>
          <w:color w:val="000000"/>
        </w:rPr>
        <w:t xml:space="preserve"> (OSAB) </w:t>
      </w:r>
      <w:r w:rsidRPr="00E75871">
        <w:rPr>
          <w:color w:val="000000"/>
        </w:rPr>
        <w:t xml:space="preserve">has produced </w:t>
      </w:r>
      <w:r w:rsidR="003A43AC">
        <w:rPr>
          <w:color w:val="000000"/>
        </w:rPr>
        <w:t xml:space="preserve">a </w:t>
      </w:r>
      <w:r w:rsidRPr="00E75871">
        <w:rPr>
          <w:color w:val="000000"/>
        </w:rPr>
        <w:t xml:space="preserve">shared multi-agency </w:t>
      </w:r>
      <w:r w:rsidR="003A43AC">
        <w:rPr>
          <w:color w:val="000000"/>
        </w:rPr>
        <w:t xml:space="preserve">framework to assist in </w:t>
      </w:r>
      <w:r w:rsidRPr="00E75871">
        <w:rPr>
          <w:bCs/>
        </w:rPr>
        <w:t>managing cases relating to adults where there is a high level of risk</w:t>
      </w:r>
      <w:r w:rsidR="003A43AC">
        <w:rPr>
          <w:bCs/>
        </w:rPr>
        <w:t>,</w:t>
      </w:r>
      <w:r w:rsidRPr="00E75871">
        <w:rPr>
          <w:bCs/>
        </w:rPr>
        <w:t xml:space="preserve"> the circumstances sit outside the statutory adult safeguarding framework </w:t>
      </w:r>
      <w:r w:rsidR="00FB3FBE" w:rsidRPr="00E75871">
        <w:rPr>
          <w:bCs/>
        </w:rPr>
        <w:t>and</w:t>
      </w:r>
      <w:r w:rsidRPr="00E75871">
        <w:rPr>
          <w:bCs/>
        </w:rPr>
        <w:t xml:space="preserve"> for which a multi-agency approach would be beneficial. </w:t>
      </w:r>
    </w:p>
    <w:p w14:paraId="1D9AB085" w14:textId="77777777" w:rsidR="00FB3FBE" w:rsidRPr="00E75871" w:rsidRDefault="00FB3FBE" w:rsidP="00564318">
      <w:pPr>
        <w:spacing w:line="360" w:lineRule="auto"/>
        <w:jc w:val="both"/>
        <w:rPr>
          <w:bCs/>
        </w:rPr>
      </w:pPr>
    </w:p>
    <w:p w14:paraId="458EA74A" w14:textId="3650BA20" w:rsidR="00DC4BB9" w:rsidRPr="00E75871" w:rsidRDefault="00DC4BB9" w:rsidP="00564318">
      <w:pPr>
        <w:spacing w:line="360" w:lineRule="auto"/>
        <w:jc w:val="both"/>
        <w:rPr>
          <w:color w:val="000000"/>
        </w:rPr>
      </w:pPr>
      <w:r w:rsidRPr="00E75871">
        <w:rPr>
          <w:bCs/>
        </w:rPr>
        <w:t xml:space="preserve">The guidance </w:t>
      </w:r>
      <w:r w:rsidRPr="00E75871">
        <w:rPr>
          <w:color w:val="000000"/>
        </w:rPr>
        <w:t xml:space="preserve">recognises that complex cases involving people with long term and entrenched behaviours requires a relationship-based approach focusing on building trust and rapport </w:t>
      </w:r>
      <w:r w:rsidR="003A43AC" w:rsidRPr="00E75871">
        <w:rPr>
          <w:color w:val="000000"/>
        </w:rPr>
        <w:t>to</w:t>
      </w:r>
      <w:r w:rsidRPr="00E75871">
        <w:rPr>
          <w:color w:val="000000"/>
        </w:rPr>
        <w:t xml:space="preserve"> reduce harm. </w:t>
      </w:r>
    </w:p>
    <w:p w14:paraId="7467B178" w14:textId="77777777" w:rsidR="00DC4BB9" w:rsidRPr="00E75871" w:rsidRDefault="00DC4BB9" w:rsidP="00564318">
      <w:pPr>
        <w:spacing w:line="360" w:lineRule="auto"/>
        <w:jc w:val="both"/>
        <w:rPr>
          <w:color w:val="000000"/>
        </w:rPr>
      </w:pPr>
    </w:p>
    <w:p w14:paraId="0CB4985B" w14:textId="32C72A59" w:rsidR="00DC4BB9" w:rsidRPr="00E75871" w:rsidRDefault="00DC4BB9" w:rsidP="00564318">
      <w:pPr>
        <w:spacing w:line="360" w:lineRule="auto"/>
        <w:jc w:val="both"/>
        <w:rPr>
          <w:bCs/>
        </w:rPr>
      </w:pPr>
      <w:r w:rsidRPr="00E75871">
        <w:rPr>
          <w:bCs/>
        </w:rPr>
        <w:t>The guidance does not replace single agency risk management arrangements or pre-existing multi-agency case discussion processes (such as M</w:t>
      </w:r>
      <w:r w:rsidR="00175590">
        <w:rPr>
          <w:bCs/>
        </w:rPr>
        <w:t>ulti-Disciplinary Team meeting</w:t>
      </w:r>
      <w:r w:rsidRPr="00E75871">
        <w:rPr>
          <w:bCs/>
        </w:rPr>
        <w:t xml:space="preserve"> meetings, MARAC, </w:t>
      </w:r>
      <w:r w:rsidR="00175590">
        <w:rPr>
          <w:bCs/>
        </w:rPr>
        <w:t xml:space="preserve">MAPPA </w:t>
      </w:r>
      <w:r w:rsidRPr="00E75871">
        <w:rPr>
          <w:bCs/>
        </w:rPr>
        <w:t xml:space="preserve">etc) and instead </w:t>
      </w:r>
      <w:r w:rsidRPr="00E75871">
        <w:rPr>
          <w:bCs/>
          <w:u w:val="single"/>
        </w:rPr>
        <w:t>seeks to support case discussion where no multi-agency case discussion and risk management process exists</w:t>
      </w:r>
      <w:r w:rsidRPr="00E75871">
        <w:rPr>
          <w:bCs/>
        </w:rPr>
        <w:t xml:space="preserve">. </w:t>
      </w:r>
    </w:p>
    <w:p w14:paraId="07457FB4" w14:textId="77777777" w:rsidR="00DC4BB9" w:rsidRPr="00E75871" w:rsidRDefault="00DC4BB9" w:rsidP="00564318">
      <w:pPr>
        <w:spacing w:line="360" w:lineRule="auto"/>
        <w:jc w:val="both"/>
        <w:rPr>
          <w:color w:val="000000"/>
        </w:rPr>
      </w:pPr>
    </w:p>
    <w:p w14:paraId="194168D3" w14:textId="0289C20B" w:rsidR="00DC4BB9" w:rsidRDefault="00DC4BB9" w:rsidP="00564318">
      <w:pPr>
        <w:spacing w:line="360" w:lineRule="auto"/>
        <w:jc w:val="both"/>
      </w:pPr>
      <w:r w:rsidRPr="00E75871">
        <w:t xml:space="preserve">An adult </w:t>
      </w:r>
      <w:r w:rsidR="00175590" w:rsidRPr="00E75871">
        <w:t>is</w:t>
      </w:r>
      <w:r w:rsidRPr="00E75871">
        <w:t xml:space="preserve"> </w:t>
      </w:r>
      <w:r w:rsidR="00175590">
        <w:t xml:space="preserve">believed to be </w:t>
      </w:r>
      <w:r w:rsidRPr="00E75871">
        <w:t>‘at risk’ when they are unable or unwilling to provide adequate care for themselves and:</w:t>
      </w:r>
    </w:p>
    <w:p w14:paraId="79E5D20C" w14:textId="77777777" w:rsidR="00175590" w:rsidRPr="00E75871" w:rsidRDefault="00175590" w:rsidP="00564318">
      <w:pPr>
        <w:spacing w:line="360" w:lineRule="auto"/>
        <w:jc w:val="both"/>
      </w:pPr>
    </w:p>
    <w:p w14:paraId="2BC90421" w14:textId="77777777" w:rsidR="00DC4BB9" w:rsidRPr="00E75871" w:rsidRDefault="00DC4BB9" w:rsidP="00564318">
      <w:pPr>
        <w:pStyle w:val="ListParagraph"/>
        <w:numPr>
          <w:ilvl w:val="0"/>
          <w:numId w:val="6"/>
        </w:numPr>
        <w:spacing w:line="360" w:lineRule="auto"/>
        <w:jc w:val="both"/>
      </w:pPr>
      <w:r w:rsidRPr="00E75871">
        <w:t xml:space="preserve">Is unable to obtain necessary care to meet their needs; and/or </w:t>
      </w:r>
    </w:p>
    <w:p w14:paraId="59B0387C" w14:textId="77777777" w:rsidR="00DC4BB9" w:rsidRPr="00E75871" w:rsidRDefault="00DC4BB9" w:rsidP="00564318">
      <w:pPr>
        <w:pStyle w:val="ListParagraph"/>
        <w:numPr>
          <w:ilvl w:val="0"/>
          <w:numId w:val="6"/>
        </w:numPr>
        <w:spacing w:line="360" w:lineRule="auto"/>
        <w:jc w:val="both"/>
      </w:pPr>
      <w:r w:rsidRPr="00E75871">
        <w:t xml:space="preserve">Is unable to make reasonable or informed decisions because of their state of mental health or because they have a learning disability or an acquired brain injury; and/or </w:t>
      </w:r>
    </w:p>
    <w:p w14:paraId="5873C65C" w14:textId="77777777" w:rsidR="00DC4BB9" w:rsidRPr="00E75871" w:rsidRDefault="00DC4BB9" w:rsidP="00564318">
      <w:pPr>
        <w:pStyle w:val="ListParagraph"/>
        <w:numPr>
          <w:ilvl w:val="0"/>
          <w:numId w:val="6"/>
        </w:numPr>
        <w:spacing w:line="360" w:lineRule="auto"/>
        <w:jc w:val="both"/>
      </w:pPr>
      <w:r w:rsidRPr="00E75871">
        <w:t>Is unable to protect themselves adequately against potential exploitation or abuse; and/or</w:t>
      </w:r>
    </w:p>
    <w:p w14:paraId="6C8DA50A" w14:textId="009C05CE" w:rsidR="00DC4BB9" w:rsidRPr="00E75871" w:rsidRDefault="00DC4BB9" w:rsidP="00564318">
      <w:pPr>
        <w:pStyle w:val="ListParagraph"/>
        <w:numPr>
          <w:ilvl w:val="0"/>
          <w:numId w:val="6"/>
        </w:numPr>
        <w:spacing w:line="360" w:lineRule="auto"/>
        <w:jc w:val="both"/>
      </w:pPr>
      <w:r w:rsidRPr="00E75871">
        <w:t>Has refused essential services without which their health and safety needs cannot be met but lack insight to recognise this.</w:t>
      </w:r>
    </w:p>
    <w:p w14:paraId="2C3F04A7" w14:textId="77777777" w:rsidR="00DC4BB9" w:rsidRPr="00E75871" w:rsidRDefault="00DC4BB9" w:rsidP="00564318">
      <w:pPr>
        <w:spacing w:line="360" w:lineRule="auto"/>
        <w:jc w:val="both"/>
      </w:pPr>
    </w:p>
    <w:p w14:paraId="59C44386" w14:textId="77777777" w:rsidR="00564318" w:rsidRPr="00E75871" w:rsidRDefault="00564318">
      <w:pPr>
        <w:rPr>
          <w:bCs/>
        </w:rPr>
      </w:pPr>
      <w:r w:rsidRPr="00E75871">
        <w:rPr>
          <w:bCs/>
        </w:rPr>
        <w:br w:type="page"/>
      </w:r>
    </w:p>
    <w:p w14:paraId="2D7526F6" w14:textId="77777777" w:rsidR="00175590" w:rsidRDefault="00175590" w:rsidP="00564318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110166DF" w14:textId="61B8638E" w:rsidR="00DC4BB9" w:rsidRDefault="00564318" w:rsidP="005643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5871">
        <w:t>MARM</w:t>
      </w:r>
      <w:r w:rsidR="00DC4BB9" w:rsidRPr="00E75871">
        <w:t xml:space="preserve"> </w:t>
      </w:r>
      <w:r w:rsidR="00DC4BB9" w:rsidRPr="00E75871">
        <w:rPr>
          <w:color w:val="000000"/>
        </w:rPr>
        <w:t xml:space="preserve">is likely to be useful </w:t>
      </w:r>
      <w:r w:rsidRPr="00E75871">
        <w:rPr>
          <w:color w:val="000000"/>
        </w:rPr>
        <w:t>for wo</w:t>
      </w:r>
      <w:r w:rsidR="00DC4BB9" w:rsidRPr="00E75871">
        <w:rPr>
          <w:color w:val="000000"/>
        </w:rPr>
        <w:t>rking with adults experiencing a</w:t>
      </w:r>
      <w:r w:rsidRPr="00E75871">
        <w:rPr>
          <w:color w:val="000000"/>
        </w:rPr>
        <w:t>n unmanageable</w:t>
      </w:r>
      <w:r w:rsidR="00DC4BB9" w:rsidRPr="00E75871">
        <w:rPr>
          <w:color w:val="000000"/>
        </w:rPr>
        <w:t xml:space="preserve"> level of risk as a result of circumstances which create the risk of harm</w:t>
      </w:r>
      <w:r w:rsidR="00175590">
        <w:rPr>
          <w:color w:val="000000"/>
        </w:rPr>
        <w:t>,</w:t>
      </w:r>
      <w:r w:rsidR="00DC4BB9" w:rsidRPr="00E75871">
        <w:rPr>
          <w:color w:val="000000"/>
        </w:rPr>
        <w:t xml:space="preserve"> </w:t>
      </w:r>
      <w:r w:rsidR="00DC4BB9" w:rsidRPr="00E75871">
        <w:rPr>
          <w:color w:val="000000"/>
          <w:u w:val="single"/>
        </w:rPr>
        <w:t xml:space="preserve">but not relating to abuse or neglect by a third party </w:t>
      </w:r>
      <w:r w:rsidR="00DC4BB9" w:rsidRPr="00E75871">
        <w:rPr>
          <w:color w:val="000000"/>
        </w:rPr>
        <w:t>such as:</w:t>
      </w:r>
    </w:p>
    <w:p w14:paraId="228C7919" w14:textId="77777777" w:rsidR="00E75871" w:rsidRPr="00E75871" w:rsidRDefault="00E75871" w:rsidP="005643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535EDF2E" w14:textId="713ED5D6" w:rsidR="00DC4BB9" w:rsidRPr="00E75871" w:rsidRDefault="00DC4BB9" w:rsidP="00564318">
      <w:pPr>
        <w:pStyle w:val="ListParagraph"/>
        <w:numPr>
          <w:ilvl w:val="0"/>
          <w:numId w:val="7"/>
        </w:numPr>
        <w:spacing w:line="360" w:lineRule="auto"/>
        <w:jc w:val="both"/>
      </w:pPr>
      <w:r w:rsidRPr="00E75871">
        <w:t>Vulnerability factors placing them at a higher risk of abuse or neglect</w:t>
      </w:r>
      <w:r w:rsidR="00564318" w:rsidRPr="00E75871">
        <w:t xml:space="preserve"> e.g. mate crime</w:t>
      </w:r>
      <w:r w:rsidRPr="00E75871">
        <w:t>;</w:t>
      </w:r>
    </w:p>
    <w:p w14:paraId="41B6037B" w14:textId="71659DB5" w:rsidR="00DC4BB9" w:rsidRPr="00E75871" w:rsidRDefault="00DC4BB9" w:rsidP="00564318">
      <w:pPr>
        <w:pStyle w:val="ListParagraph"/>
        <w:numPr>
          <w:ilvl w:val="0"/>
          <w:numId w:val="7"/>
        </w:numPr>
        <w:spacing w:line="360" w:lineRule="auto"/>
        <w:jc w:val="both"/>
      </w:pPr>
      <w:r w:rsidRPr="00E75871">
        <w:t>Self</w:t>
      </w:r>
      <w:r w:rsidR="00FB3FBE" w:rsidRPr="00E75871">
        <w:t>-</w:t>
      </w:r>
      <w:r w:rsidRPr="00E75871">
        <w:t>neglect including hoarding and fire safety;</w:t>
      </w:r>
    </w:p>
    <w:p w14:paraId="4D75FE8F" w14:textId="14DF1F3D" w:rsidR="00DC4BB9" w:rsidRPr="00E75871" w:rsidRDefault="00DC4BB9" w:rsidP="00564318">
      <w:pPr>
        <w:pStyle w:val="ListParagraph"/>
        <w:numPr>
          <w:ilvl w:val="0"/>
          <w:numId w:val="7"/>
        </w:numPr>
        <w:spacing w:line="360" w:lineRule="auto"/>
        <w:jc w:val="both"/>
      </w:pPr>
      <w:r w:rsidRPr="00E75871">
        <w:t>Refusal or disengagement from care and support services when the</w:t>
      </w:r>
      <w:r w:rsidR="00564318" w:rsidRPr="00E75871">
        <w:t>y have</w:t>
      </w:r>
      <w:r w:rsidRPr="00E75871">
        <w:t xml:space="preserve"> mental capacity;</w:t>
      </w:r>
    </w:p>
    <w:p w14:paraId="00D427B6" w14:textId="62602FA0" w:rsidR="00DC4BB9" w:rsidRPr="00E75871" w:rsidRDefault="00DC4BB9" w:rsidP="00564318">
      <w:pPr>
        <w:pStyle w:val="ListParagraph"/>
        <w:numPr>
          <w:ilvl w:val="0"/>
          <w:numId w:val="7"/>
        </w:numPr>
        <w:spacing w:line="360" w:lineRule="auto"/>
        <w:jc w:val="both"/>
      </w:pPr>
      <w:r w:rsidRPr="00E75871">
        <w:t>Complex or diverse needs which either fall between a number of agencies’ statutory responsibilities or eligibility criteria;</w:t>
      </w:r>
    </w:p>
    <w:p w14:paraId="44F48FCF" w14:textId="4A4E28CA" w:rsidR="00DC4BB9" w:rsidRPr="00E75871" w:rsidRDefault="00DC4BB9" w:rsidP="00564318">
      <w:pPr>
        <w:pStyle w:val="ListParagraph"/>
        <w:numPr>
          <w:ilvl w:val="0"/>
          <w:numId w:val="7"/>
        </w:numPr>
        <w:spacing w:line="360" w:lineRule="auto"/>
        <w:jc w:val="both"/>
      </w:pPr>
      <w:r w:rsidRPr="00E75871">
        <w:t xml:space="preserve">On-going needs or behaviour </w:t>
      </w:r>
      <w:r w:rsidR="00E42B1F">
        <w:t xml:space="preserve">which are </w:t>
      </w:r>
      <w:r w:rsidRPr="00E75871">
        <w:t>placing the</w:t>
      </w:r>
      <w:r w:rsidR="00564318" w:rsidRPr="00E75871">
        <w:t xml:space="preserve">m </w:t>
      </w:r>
      <w:r w:rsidRPr="00E75871">
        <w:t>at significant risk;</w:t>
      </w:r>
    </w:p>
    <w:p w14:paraId="6E25B3E0" w14:textId="2D64776C" w:rsidR="00DC4BB9" w:rsidRPr="00E75871" w:rsidRDefault="00DC4BB9" w:rsidP="00564318">
      <w:pPr>
        <w:pStyle w:val="ListParagraph"/>
        <w:numPr>
          <w:ilvl w:val="0"/>
          <w:numId w:val="7"/>
        </w:numPr>
        <w:spacing w:line="360" w:lineRule="auto"/>
        <w:jc w:val="both"/>
      </w:pPr>
      <w:r w:rsidRPr="00E75871">
        <w:t>Complex needs and behaviours leading the adult to cause harm to others;</w:t>
      </w:r>
    </w:p>
    <w:p w14:paraId="4174019A" w14:textId="77777777" w:rsidR="00DC4BB9" w:rsidRPr="00E75871" w:rsidRDefault="00DC4BB9" w:rsidP="00564318">
      <w:pPr>
        <w:spacing w:line="360" w:lineRule="auto"/>
        <w:jc w:val="both"/>
        <w:rPr>
          <w:bCs/>
        </w:rPr>
      </w:pPr>
    </w:p>
    <w:p w14:paraId="1A6E397B" w14:textId="77777777" w:rsidR="00DC4BB9" w:rsidRPr="00E75871" w:rsidRDefault="00DC4BB9" w:rsidP="00564318">
      <w:pPr>
        <w:spacing w:line="360" w:lineRule="auto"/>
        <w:jc w:val="both"/>
        <w:rPr>
          <w:bCs/>
        </w:rPr>
      </w:pPr>
      <w:r w:rsidRPr="00E75871">
        <w:rPr>
          <w:bCs/>
        </w:rPr>
        <w:t>The process:</w:t>
      </w:r>
    </w:p>
    <w:p w14:paraId="119FD092" w14:textId="73366D05" w:rsidR="00DC4BB9" w:rsidRPr="00E75871" w:rsidRDefault="00DC4BB9" w:rsidP="00564318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bCs/>
        </w:rPr>
      </w:pPr>
      <w:r w:rsidRPr="00E75871">
        <w:rPr>
          <w:bCs/>
        </w:rPr>
        <w:t>Any agency can refer a case to the process</w:t>
      </w:r>
      <w:r w:rsidR="00FB3FBE" w:rsidRPr="00E75871">
        <w:rPr>
          <w:bCs/>
        </w:rPr>
        <w:t>. The</w:t>
      </w:r>
      <w:r w:rsidRPr="00E75871">
        <w:rPr>
          <w:bCs/>
        </w:rPr>
        <w:t xml:space="preserve"> lead coordinating role </w:t>
      </w:r>
      <w:r w:rsidR="00175590">
        <w:rPr>
          <w:bCs/>
        </w:rPr>
        <w:t>sits</w:t>
      </w:r>
      <w:r w:rsidR="00FB3FBE" w:rsidRPr="00E75871">
        <w:rPr>
          <w:bCs/>
        </w:rPr>
        <w:t xml:space="preserve"> with the OSAB </w:t>
      </w:r>
      <w:r w:rsidR="00175590">
        <w:rPr>
          <w:bCs/>
        </w:rPr>
        <w:t>MARM Officer (who also Chairs each meeting).</w:t>
      </w:r>
      <w:r w:rsidR="00FB3FBE" w:rsidRPr="00E75871">
        <w:rPr>
          <w:bCs/>
        </w:rPr>
        <w:t xml:space="preserve"> </w:t>
      </w:r>
    </w:p>
    <w:p w14:paraId="3B111CF3" w14:textId="5F5D7BA6" w:rsidR="00DC4BB9" w:rsidRPr="00E75871" w:rsidRDefault="00DC4BB9" w:rsidP="00564318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bCs/>
        </w:rPr>
      </w:pPr>
      <w:r w:rsidRPr="00E75871">
        <w:rPr>
          <w:bCs/>
        </w:rPr>
        <w:t>The purpose of the meeting is to gain a holistic overview of current risks and to agree a multi-agency risk management</w:t>
      </w:r>
      <w:r w:rsidR="00175590">
        <w:rPr>
          <w:bCs/>
        </w:rPr>
        <w:t>/action</w:t>
      </w:r>
      <w:r w:rsidRPr="00E75871">
        <w:rPr>
          <w:bCs/>
        </w:rPr>
        <w:t xml:space="preserve"> plan. </w:t>
      </w:r>
    </w:p>
    <w:p w14:paraId="2EF3E58F" w14:textId="760BD8DD" w:rsidR="00DC4BB9" w:rsidRPr="00E75871" w:rsidRDefault="00DC4BB9" w:rsidP="00564318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bCs/>
        </w:rPr>
      </w:pPr>
      <w:r w:rsidRPr="00E75871">
        <w:rPr>
          <w:bCs/>
        </w:rPr>
        <w:t xml:space="preserve">If the collaborative assessment highlights circumstances which are more appropriately dealt with elsewhere, a referral </w:t>
      </w:r>
      <w:r w:rsidR="00175590">
        <w:rPr>
          <w:bCs/>
        </w:rPr>
        <w:t>will be made to the appropriate service(s).</w:t>
      </w:r>
    </w:p>
    <w:p w14:paraId="5DBA6DB3" w14:textId="1E61CD16" w:rsidR="00DC4BB9" w:rsidRDefault="00DC4BB9" w:rsidP="00564318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bCs/>
        </w:rPr>
      </w:pPr>
      <w:r w:rsidRPr="00E75871">
        <w:rPr>
          <w:bCs/>
        </w:rPr>
        <w:t xml:space="preserve">The </w:t>
      </w:r>
      <w:r w:rsidR="00FB3FBE" w:rsidRPr="00E75871">
        <w:rPr>
          <w:bCs/>
        </w:rPr>
        <w:t xml:space="preserve">risk management plan </w:t>
      </w:r>
      <w:r w:rsidR="00175590">
        <w:rPr>
          <w:bCs/>
        </w:rPr>
        <w:t>will</w:t>
      </w:r>
      <w:r w:rsidR="00FB3FBE" w:rsidRPr="00E75871">
        <w:rPr>
          <w:bCs/>
        </w:rPr>
        <w:t xml:space="preserve"> </w:t>
      </w:r>
      <w:r w:rsidRPr="00E75871">
        <w:rPr>
          <w:bCs/>
        </w:rPr>
        <w:t>identif</w:t>
      </w:r>
      <w:r w:rsidR="00FB3FBE" w:rsidRPr="00E75871">
        <w:rPr>
          <w:bCs/>
        </w:rPr>
        <w:t>y</w:t>
      </w:r>
      <w:r w:rsidRPr="00E75871">
        <w:rPr>
          <w:bCs/>
        </w:rPr>
        <w:t xml:space="preserve"> risks </w:t>
      </w:r>
      <w:r w:rsidR="00FB3FBE" w:rsidRPr="00E75871">
        <w:rPr>
          <w:bCs/>
        </w:rPr>
        <w:t xml:space="preserve">and how they can either be resolved or </w:t>
      </w:r>
      <w:r w:rsidRPr="00E75871">
        <w:rPr>
          <w:bCs/>
        </w:rPr>
        <w:t xml:space="preserve">managed to an acceptable level.  </w:t>
      </w:r>
    </w:p>
    <w:p w14:paraId="6F08F7FC" w14:textId="69B7526F" w:rsidR="00D44974" w:rsidRDefault="00D44974" w:rsidP="00564318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bCs/>
        </w:rPr>
      </w:pPr>
      <w:r w:rsidRPr="00D44974">
        <w:rPr>
          <w:bCs/>
        </w:rPr>
        <w:t xml:space="preserve">Agreement is reached during MARM meetings with the referred person and agencies as to when closure will take place, and how the </w:t>
      </w:r>
      <w:r>
        <w:rPr>
          <w:bCs/>
        </w:rPr>
        <w:t xml:space="preserve">person’s wellbeing and safety </w:t>
      </w:r>
      <w:r w:rsidRPr="00D44974">
        <w:rPr>
          <w:bCs/>
        </w:rPr>
        <w:t>will continue to be monitored (if required).</w:t>
      </w:r>
    </w:p>
    <w:p w14:paraId="7D1DC13D" w14:textId="77777777" w:rsidR="00564318" w:rsidRPr="00E75871" w:rsidRDefault="00564318" w:rsidP="0056431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1859150" w14:textId="3C925FF6" w:rsidR="00FD3A85" w:rsidRPr="00E75871" w:rsidRDefault="00DC4BB9" w:rsidP="00564318">
      <w:pPr>
        <w:autoSpaceDE w:val="0"/>
        <w:autoSpaceDN w:val="0"/>
        <w:adjustRightInd w:val="0"/>
        <w:spacing w:line="360" w:lineRule="auto"/>
        <w:jc w:val="both"/>
      </w:pPr>
      <w:r w:rsidRPr="00E75871">
        <w:rPr>
          <w:color w:val="000000"/>
        </w:rPr>
        <w:t>Th</w:t>
      </w:r>
      <w:r w:rsidR="00D44974">
        <w:rPr>
          <w:color w:val="000000"/>
        </w:rPr>
        <w:t>is</w:t>
      </w:r>
      <w:r w:rsidRPr="00E75871">
        <w:rPr>
          <w:color w:val="000000"/>
        </w:rPr>
        <w:t xml:space="preserve"> guidance should be read in conjunction with the Oxfordshire Multi-Agency Safeguarding Policy and Guidance. </w:t>
      </w:r>
    </w:p>
    <w:sectPr w:rsidR="00FD3A85" w:rsidRPr="00E75871" w:rsidSect="00564318">
      <w:headerReference w:type="default" r:id="rId8"/>
      <w:footerReference w:type="default" r:id="rId9"/>
      <w:pgSz w:w="11906" w:h="16838"/>
      <w:pgMar w:top="1440" w:right="1440" w:bottom="1440" w:left="1440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D5B6" w14:textId="77777777" w:rsidR="00DC4BB9" w:rsidRDefault="00DC4BB9" w:rsidP="00DC4BB9">
      <w:r>
        <w:separator/>
      </w:r>
    </w:p>
  </w:endnote>
  <w:endnote w:type="continuationSeparator" w:id="0">
    <w:p w14:paraId="3DC508C6" w14:textId="77777777" w:rsidR="00DC4BB9" w:rsidRDefault="00DC4BB9" w:rsidP="00DC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4D54" w14:textId="3096FF74" w:rsidR="00DC4BB9" w:rsidRPr="003A2E1D" w:rsidRDefault="003A2E1D">
    <w:pPr>
      <w:pStyle w:val="Footer"/>
      <w:rPr>
        <w:sz w:val="22"/>
        <w:szCs w:val="22"/>
      </w:rPr>
    </w:pPr>
    <w:r>
      <w:rPr>
        <w:sz w:val="22"/>
        <w:szCs w:val="22"/>
      </w:rPr>
      <w:t>One Minute Guide to MARM v3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6FD3" w14:textId="77777777" w:rsidR="00DC4BB9" w:rsidRDefault="00DC4BB9" w:rsidP="00DC4BB9">
      <w:r>
        <w:separator/>
      </w:r>
    </w:p>
  </w:footnote>
  <w:footnote w:type="continuationSeparator" w:id="0">
    <w:p w14:paraId="7FCF8CC3" w14:textId="77777777" w:rsidR="00DC4BB9" w:rsidRDefault="00DC4BB9" w:rsidP="00DC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E9BA" w14:textId="631CD59E" w:rsidR="003A2E1D" w:rsidRDefault="003A2E1D">
    <w:pPr>
      <w:pStyle w:val="Header"/>
    </w:pPr>
    <w:r>
      <w:rPr>
        <w:noProof/>
      </w:rPr>
      <w:drawing>
        <wp:inline distT="0" distB="0" distL="0" distR="0" wp14:anchorId="22688D9D" wp14:editId="2A539235">
          <wp:extent cx="1183005" cy="5245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0262"/>
    <w:multiLevelType w:val="hybridMultilevel"/>
    <w:tmpl w:val="0FE66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460A8"/>
    <w:multiLevelType w:val="hybridMultilevel"/>
    <w:tmpl w:val="B85C0F7A"/>
    <w:lvl w:ilvl="0" w:tplc="2B50ED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CB46EE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D2908BE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69D47E8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00007E0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365609D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9956F51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20C08B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E9A92D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57D851DF"/>
    <w:multiLevelType w:val="hybridMultilevel"/>
    <w:tmpl w:val="4E78B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008FD"/>
    <w:multiLevelType w:val="hybridMultilevel"/>
    <w:tmpl w:val="106C6F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47927"/>
    <w:multiLevelType w:val="hybridMultilevel"/>
    <w:tmpl w:val="639CF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423817">
    <w:abstractNumId w:val="1"/>
  </w:num>
  <w:num w:numId="2" w16cid:durableId="15945875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9016759">
    <w:abstractNumId w:val="4"/>
  </w:num>
  <w:num w:numId="4" w16cid:durableId="1822574853">
    <w:abstractNumId w:val="4"/>
  </w:num>
  <w:num w:numId="5" w16cid:durableId="914240817">
    <w:abstractNumId w:val="3"/>
  </w:num>
  <w:num w:numId="6" w16cid:durableId="121464643">
    <w:abstractNumId w:val="0"/>
  </w:num>
  <w:num w:numId="7" w16cid:durableId="552346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B9"/>
    <w:rsid w:val="00095CAE"/>
    <w:rsid w:val="000B4310"/>
    <w:rsid w:val="00175590"/>
    <w:rsid w:val="003A2E1D"/>
    <w:rsid w:val="003A43AC"/>
    <w:rsid w:val="004000D7"/>
    <w:rsid w:val="00504E43"/>
    <w:rsid w:val="00564318"/>
    <w:rsid w:val="007908F4"/>
    <w:rsid w:val="00D44974"/>
    <w:rsid w:val="00DC4BB9"/>
    <w:rsid w:val="00E42B1F"/>
    <w:rsid w:val="00E75871"/>
    <w:rsid w:val="00FB3FB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B55FB19"/>
  <w15:chartTrackingRefBased/>
  <w15:docId w15:val="{F9CB8379-3B88-4B4D-80A5-2AFFCC2C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BB9"/>
  </w:style>
  <w:style w:type="paragraph" w:styleId="Heading1">
    <w:name w:val="heading 1"/>
    <w:basedOn w:val="Normal"/>
    <w:next w:val="Normal"/>
    <w:link w:val="Heading1Char"/>
    <w:uiPriority w:val="9"/>
    <w:qFormat/>
    <w:rsid w:val="00DC4B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B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C4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BB9"/>
  </w:style>
  <w:style w:type="paragraph" w:styleId="Footer">
    <w:name w:val="footer"/>
    <w:basedOn w:val="Normal"/>
    <w:link w:val="FooterChar"/>
    <w:uiPriority w:val="99"/>
    <w:unhideWhenUsed/>
    <w:rsid w:val="00DC4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CA0A-E24E-4C3C-9DDF-95AF577F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Steven - Oxfordshire County Council</dc:creator>
  <cp:keywords/>
  <dc:description/>
  <cp:lastModifiedBy>Kershaw, Helen - Oxfordshire County Council</cp:lastModifiedBy>
  <cp:revision>6</cp:revision>
  <dcterms:created xsi:type="dcterms:W3CDTF">2022-07-29T10:54:00Z</dcterms:created>
  <dcterms:modified xsi:type="dcterms:W3CDTF">2023-05-15T14:51:00Z</dcterms:modified>
</cp:coreProperties>
</file>